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u w:val="none"/>
        </w:rPr>
      </w:pPr>
      <w:r>
        <w:rPr>
          <w:rFonts w:hint="eastAsia"/>
          <w:u w:val="none"/>
        </w:rPr>
        <w:t>试题四</w:t>
      </w:r>
    </w:p>
    <w:p>
      <w:pPr>
        <w:spacing w:line="336" w:lineRule="auto"/>
        <w:rPr>
          <w:rFonts w:hint="eastAsia" w:ascii="Calibri" w:hAnsi="Calibri" w:eastAsia="宋体" w:cs="Times New Roman"/>
          <w:b/>
          <w:sz w:val="24"/>
          <w:u w:val="none"/>
        </w:rPr>
      </w:pPr>
      <w:r>
        <w:rPr>
          <w:rFonts w:hint="eastAsia" w:ascii="Calibri" w:hAnsi="Calibri" w:eastAsia="宋体" w:cs="Times New Roman"/>
          <w:b/>
          <w:sz w:val="24"/>
          <w:u w:val="none"/>
        </w:rPr>
        <w:t>一、填空题</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1.个体掌握的概念主要有</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日常概念</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科学概念</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两种方式。其中</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日常概念</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是学前儿童掌握概念的典型方式，而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科学概念</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是学龄儿童掌握概念的典型方式。</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2.创造想象是指</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按照一定的目的、任务，使用自己以往积累的表象</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而在头脑中独立形成新形象的过程，而再造想象是</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根据言语描述或图形等的提示</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而在头脑中形成新形象的过程。</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3.乔姆斯基认为，语言的结构包括</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表层结构</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深层结构</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两方面。其中，</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表层结构</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是句子的语法结构，而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sz w:val="24"/>
          <w:u w:val="none"/>
        </w:rPr>
        <w:t>深层结构</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是句子的意义结构。</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4.外部言语主要有：</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口头言语</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 xml:space="preserve">书面言语 </w:t>
      </w:r>
      <w:r>
        <w:rPr>
          <w:rFonts w:hint="eastAsia" w:ascii="Calibri" w:hAnsi="Calibri" w:eastAsia="宋体" w:cs="Times New Roman"/>
          <w:sz w:val="24"/>
          <w:u w:val="none"/>
        </w:rPr>
        <w:t xml:space="preserve"> ）</w:t>
      </w:r>
      <w:r>
        <w:rPr>
          <w:rFonts w:hint="eastAsia" w:ascii="Calibri" w:hAnsi="Calibri" w:eastAsia="宋体" w:cs="Times New Roman"/>
          <w:sz w:val="24"/>
          <w:u w:val="none"/>
        </w:rPr>
        <w:t>两大类。</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5.书面言语具有与口头言语不同的特点，即：</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随意性</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开展性</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计划性</w:t>
      </w:r>
      <w:r>
        <w:rPr>
          <w:rFonts w:hint="eastAsia" w:ascii="Calibri" w:hAnsi="Calibri" w:eastAsia="宋体" w:cs="Times New Roman"/>
          <w:sz w:val="24"/>
          <w:u w:val="none"/>
        </w:rPr>
        <w:t>）</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6.注意是心理活动对一定对象的</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指向</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集中</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7.注意的主要功能有：</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选择</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保持</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调节和监督</w:t>
      </w:r>
      <w:r>
        <w:rPr>
          <w:rFonts w:ascii="Calibri" w:hAnsi="Calibri" w:eastAsia="宋体" w:cs="Times New Roman"/>
          <w:sz w:val="24"/>
          <w:u w:val="none"/>
        </w:rPr>
        <w:t xml:space="preserve">  </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8.注意状态下，个体的外部表现主要有：</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适应性动作</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无关动作停止</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和</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呼吸运动的变化</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等。</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9.情绪情感是人对客观事物</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是否符合自己的需要</w:t>
      </w:r>
      <w:r>
        <w:rPr>
          <w:rFonts w:hint="eastAsia" w:ascii="Calibri" w:hAnsi="Calibri" w:eastAsia="宋体" w:cs="Times New Roman"/>
          <w:sz w:val="24"/>
          <w:u w:val="none"/>
        </w:rPr>
        <w:t>）</w:t>
      </w:r>
      <w:r>
        <w:rPr>
          <w:rFonts w:hint="eastAsia" w:ascii="Calibri" w:hAnsi="Calibri" w:eastAsia="宋体" w:cs="Times New Roman"/>
          <w:sz w:val="24"/>
          <w:u w:val="none"/>
        </w:rPr>
        <w:t>而产生的态度体验。它反映的是</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具有一定需要的主体和客体</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之间的关系。</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10.情绪情感的作用主要表现为：</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信号功能</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color w:val="FFFFFF" w:themeColor="background1"/>
          <w:sz w:val="24"/>
          <w:u w:val="none"/>
          <w14:textFill>
            <w14:solidFill>
              <w14:schemeClr w14:val="bg1"/>
            </w14:solidFill>
          </w14:textFill>
        </w:rPr>
        <w:t>调节功能</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11.表情是情绪情感的外部表现。在有机体身上，表情主要有：（</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面部表情</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言语表情</w:t>
      </w:r>
      <w:r>
        <w:rPr>
          <w:rFonts w:ascii="Calibri" w:hAnsi="Calibri" w:eastAsia="宋体" w:cs="Times New Roman"/>
          <w:sz w:val="24"/>
          <w:u w:val="none"/>
        </w:rPr>
        <w:t xml:space="preserve">  </w:t>
      </w:r>
      <w:r>
        <w:rPr>
          <w:rFonts w:hint="eastAsia" w:ascii="Calibri" w:hAnsi="Calibri" w:eastAsia="宋体" w:cs="Times New Roman"/>
          <w:sz w:val="24"/>
          <w:u w:val="none"/>
        </w:rPr>
        <w:t>）和（</w:t>
      </w:r>
      <w:r>
        <w:rPr>
          <w:rFonts w:ascii="Calibri" w:hAnsi="Calibri" w:eastAsia="宋体" w:cs="Times New Roman"/>
          <w:sz w:val="24"/>
          <w:u w:val="none"/>
        </w:rPr>
        <w:t xml:space="preserve"> </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动作表情</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12.人的情绪状态主要有：</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心境</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激情</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sz w:val="24"/>
          <w:u w:val="none"/>
        </w:rPr>
        <w:t>应激</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p>
    <w:p>
      <w:pPr>
        <w:spacing w:line="336" w:lineRule="auto"/>
        <w:rPr>
          <w:rFonts w:ascii="Calibri" w:hAnsi="Calibri" w:eastAsia="宋体" w:cs="Times New Roman"/>
          <w:sz w:val="24"/>
          <w:u w:val="none"/>
        </w:rPr>
      </w:pPr>
      <w:r>
        <w:rPr>
          <w:rFonts w:hint="eastAsia" w:ascii="Calibri" w:hAnsi="Calibri" w:eastAsia="宋体" w:cs="Times New Roman"/>
          <w:sz w:val="24"/>
          <w:u w:val="none"/>
        </w:rPr>
        <w:t>13.人的高级社会情感主要有：</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道德感</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ascii="Calibri" w:hAnsi="Calibri" w:eastAsia="宋体" w:cs="Times New Roman"/>
          <w:sz w:val="24"/>
          <w:u w:val="none"/>
        </w:rPr>
        <w:t xml:space="preserve"> </w:t>
      </w:r>
      <w:r>
        <w:rPr>
          <w:rFonts w:hint="eastAsia" w:ascii="Calibri" w:hAnsi="Calibri" w:eastAsia="宋体" w:cs="Times New Roman"/>
          <w:color w:val="FFFFFF" w:themeColor="background1"/>
          <w:sz w:val="24"/>
          <w:u w:val="none"/>
          <w14:textFill>
            <w14:solidFill>
              <w14:schemeClr w14:val="bg1"/>
            </w14:solidFill>
          </w14:textFill>
        </w:rPr>
        <w:t>理智感</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sz w:val="24"/>
          <w:u w:val="none"/>
        </w:rPr>
        <w:t>）、（</w:t>
      </w:r>
      <w:r>
        <w:rPr>
          <w:rFonts w:ascii="Calibri" w:hAnsi="Calibri" w:eastAsia="宋体" w:cs="Times New Roman"/>
          <w:color w:val="FFFFFF" w:themeColor="background1"/>
          <w:sz w:val="24"/>
          <w:u w:val="none"/>
          <w14:textFill>
            <w14:solidFill>
              <w14:schemeClr w14:val="bg1"/>
            </w14:solidFill>
          </w14:textFill>
        </w:rPr>
        <w:t xml:space="preserve"> </w:t>
      </w:r>
      <w:r>
        <w:rPr>
          <w:rFonts w:hint="eastAsia" w:ascii="Calibri" w:hAnsi="Calibri" w:eastAsia="宋体" w:cs="Times New Roman"/>
          <w:color w:val="FFFFFF" w:themeColor="background1"/>
          <w:sz w:val="24"/>
          <w:u w:val="none"/>
          <w14:textFill>
            <w14:solidFill>
              <w14:schemeClr w14:val="bg1"/>
            </w14:solidFill>
          </w14:textFill>
        </w:rPr>
        <w:t>美感</w:t>
      </w:r>
      <w:r>
        <w:rPr>
          <w:rFonts w:ascii="Calibri" w:hAnsi="Calibri" w:eastAsia="宋体" w:cs="Times New Roman"/>
          <w:color w:val="FFFFFF" w:themeColor="background1"/>
          <w:sz w:val="24"/>
          <w:u w:val="none"/>
          <w14:textFill>
            <w14:solidFill>
              <w14:schemeClr w14:val="bg1"/>
            </w14:solidFill>
          </w14:textFill>
        </w:rPr>
        <w:t xml:space="preserve"> </w:t>
      </w:r>
      <w:r>
        <w:rPr>
          <w:rFonts w:ascii="Calibri" w:hAnsi="Calibri" w:eastAsia="宋体" w:cs="Times New Roman"/>
          <w:sz w:val="24"/>
          <w:u w:val="none"/>
        </w:rPr>
        <w:t xml:space="preserve"> </w:t>
      </w:r>
      <w:r>
        <w:rPr>
          <w:rFonts w:hint="eastAsia" w:ascii="Calibri" w:hAnsi="Calibri" w:eastAsia="宋体" w:cs="Times New Roman"/>
          <w:sz w:val="24"/>
          <w:u w:val="none"/>
        </w:rPr>
        <w:t>）</w:t>
      </w:r>
      <w:r>
        <w:rPr>
          <w:rFonts w:hint="eastAsia" w:ascii="Calibri" w:hAnsi="Calibri" w:eastAsia="宋体" w:cs="Times New Roman"/>
          <w:sz w:val="24"/>
          <w:u w:val="none"/>
        </w:rPr>
        <w:t>。</w:t>
      </w:r>
    </w:p>
    <w:p>
      <w:pPr>
        <w:rPr>
          <w:b/>
          <w:sz w:val="28"/>
          <w:szCs w:val="28"/>
          <w:u w:val="none"/>
        </w:rPr>
      </w:pPr>
      <w:r>
        <w:rPr>
          <w:rFonts w:hint="eastAsia"/>
          <w:b/>
          <w:sz w:val="28"/>
          <w:szCs w:val="28"/>
          <w:u w:val="none"/>
        </w:rPr>
        <w:t>二、单项选择题</w:t>
      </w:r>
    </w:p>
    <w:p>
      <w:pPr>
        <w:spacing w:line="336" w:lineRule="auto"/>
        <w:ind w:firstLine="120" w:firstLineChars="50"/>
        <w:rPr>
          <w:rFonts w:ascii="宋体" w:hAnsi="宋体" w:eastAsia="宋体" w:cs="宋体"/>
          <w:color w:val="000000"/>
          <w:kern w:val="0"/>
          <w:sz w:val="24"/>
          <w:u w:val="none"/>
        </w:rPr>
      </w:pPr>
      <w:r>
        <w:rPr>
          <w:rFonts w:hint="eastAsia" w:ascii="Calibri" w:hAnsi="Calibri" w:eastAsia="宋体" w:cs="Times New Roman"/>
          <w:sz w:val="24"/>
          <w:u w:val="none"/>
        </w:rPr>
        <w:t>1</w:t>
      </w:r>
      <w:r>
        <w:rPr>
          <w:rFonts w:hint="eastAsia" w:ascii="宋体" w:hAnsi="宋体" w:eastAsia="宋体" w:cs="宋体"/>
          <w:color w:val="000000"/>
          <w:kern w:val="0"/>
          <w:sz w:val="24"/>
          <w:u w:val="none"/>
        </w:rPr>
        <w:t>、以下属于智力因素的是（</w:t>
      </w:r>
      <w:r>
        <w:rPr>
          <w:rFonts w:hint="eastAsia" w:ascii="宋体" w:hAnsi="宋体" w:eastAsia="宋体" w:cs="宋体"/>
          <w:color w:val="FFFFFF" w:themeColor="background1"/>
          <w:kern w:val="0"/>
          <w:sz w:val="24"/>
          <w:u w:val="none"/>
          <w14:textFill>
            <w14:solidFill>
              <w14:schemeClr w14:val="bg1"/>
            </w14:solidFill>
          </w14:textFill>
        </w:rPr>
        <w:t>A</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A、注意力        B、动机          C、情感           D、意志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2、以下属于非智力因素的是（</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A、观察力          B、记忆力      C、意志力           D、思维力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3、以下属于从外在观点对动机下定义的是（</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A、动机是推动人们行为的内在力量         B、动机是个体的内部过程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C 为实现一个特定的目的而行动的原因     </w:t>
      </w:r>
    </w:p>
    <w:p>
      <w:pPr>
        <w:spacing w:line="336" w:lineRule="auto"/>
        <w:ind w:left="120" w:leftChars="57"/>
        <w:rPr>
          <w:rFonts w:ascii="宋体" w:hAnsi="宋体" w:eastAsia="宋体" w:cs="宋体"/>
          <w:color w:val="000000"/>
          <w:kern w:val="0"/>
          <w:sz w:val="24"/>
          <w:u w:val="none"/>
        </w:rPr>
      </w:pPr>
      <w:r>
        <w:rPr>
          <w:rFonts w:hint="eastAsia" w:ascii="宋体" w:hAnsi="宋体" w:eastAsia="宋体" w:cs="宋体"/>
          <w:color w:val="000000"/>
          <w:kern w:val="0"/>
          <w:sz w:val="24"/>
          <w:u w:val="none"/>
        </w:rPr>
        <w:t>D、动机是一种需要所推动，达到一定目标的行为动力，它起激起、调节、</w:t>
      </w:r>
    </w:p>
    <w:p>
      <w:pPr>
        <w:spacing w:line="336" w:lineRule="auto"/>
        <w:ind w:left="120" w:leftChars="57"/>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维持和停止行动的作用 </w:t>
      </w:r>
    </w:p>
    <w:p>
      <w:pPr>
        <w:spacing w:line="336" w:lineRule="auto"/>
        <w:rPr>
          <w:rFonts w:ascii="宋体" w:hAnsi="宋体" w:eastAsia="宋体" w:cs="宋体"/>
          <w:color w:val="000000"/>
          <w:kern w:val="0"/>
          <w:sz w:val="24"/>
          <w:u w:val="none"/>
        </w:rPr>
      </w:pPr>
      <w:r>
        <w:rPr>
          <w:rFonts w:hint="eastAsia" w:ascii="宋体" w:hAnsi="宋体" w:eastAsia="宋体" w:cs="宋体"/>
          <w:color w:val="000000"/>
          <w:kern w:val="0"/>
          <w:sz w:val="24"/>
          <w:u w:val="none"/>
        </w:rPr>
        <w:t>4、对多方面的事物或活动具有的兴趣是（</w:t>
      </w:r>
      <w:r>
        <w:rPr>
          <w:rFonts w:hint="eastAsia" w:ascii="宋体" w:hAnsi="宋体" w:eastAsia="宋体" w:cs="宋体"/>
          <w:color w:val="FFFFFF" w:themeColor="background1"/>
          <w:kern w:val="0"/>
          <w:sz w:val="24"/>
          <w:u w:val="none"/>
          <w14:textFill>
            <w14:solidFill>
              <w14:schemeClr w14:val="bg1"/>
            </w14:solidFill>
          </w14:textFill>
        </w:rPr>
        <w:t>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A、直接兴趣        B、间接兴趣       C、中心兴趣    D、广阔兴趣 </w:t>
      </w:r>
    </w:p>
    <w:p>
      <w:pPr>
        <w:spacing w:line="336" w:lineRule="auto"/>
        <w:rPr>
          <w:rFonts w:ascii="宋体" w:hAnsi="宋体" w:eastAsia="宋体" w:cs="宋体"/>
          <w:color w:val="000000"/>
          <w:kern w:val="0"/>
          <w:sz w:val="24"/>
          <w:u w:val="none"/>
        </w:rPr>
      </w:pPr>
      <w:r>
        <w:rPr>
          <w:rFonts w:hint="eastAsia" w:ascii="宋体" w:hAnsi="宋体" w:eastAsia="宋体" w:cs="宋体"/>
          <w:color w:val="000000"/>
          <w:kern w:val="0"/>
          <w:sz w:val="24"/>
          <w:u w:val="none"/>
        </w:rPr>
        <w:t>5、个体根据外在的信息和线索来对自己或他人的内在状态或行为原因进行解释与推测的过程是（</w:t>
      </w:r>
      <w:r>
        <w:rPr>
          <w:rFonts w:hint="eastAsia" w:ascii="宋体" w:hAnsi="宋体" w:eastAsia="宋体" w:cs="宋体"/>
          <w:color w:val="FFFFFF" w:themeColor="background1"/>
          <w:kern w:val="0"/>
          <w:sz w:val="24"/>
          <w:u w:val="none"/>
          <w14:textFill>
            <w14:solidFill>
              <w14:schemeClr w14:val="bg1"/>
            </w14:solidFill>
          </w14:textFill>
        </w:rPr>
        <w:t>A</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A、归因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B、印象（认知者以自己过去经验为基础，对认知对象的属性进行分析、判断后对其总体特征做出的主观理解）</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C、自我认知（主我对客我的认知与评价）</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D、态度（个体对人、对事、对周围世界所持有的一种具有持久性与一致性的反应倾向） </w:t>
      </w:r>
    </w:p>
    <w:p>
      <w:pPr>
        <w:spacing w:line="336" w:lineRule="auto"/>
        <w:rPr>
          <w:rFonts w:ascii="宋体" w:hAnsi="宋体" w:eastAsia="宋体" w:cs="宋体"/>
          <w:color w:val="000000"/>
          <w:kern w:val="0"/>
          <w:sz w:val="24"/>
          <w:u w:val="none"/>
        </w:rPr>
      </w:pPr>
      <w:r>
        <w:rPr>
          <w:rFonts w:hint="eastAsia" w:ascii="宋体" w:hAnsi="宋体" w:eastAsia="宋体" w:cs="宋体"/>
          <w:color w:val="000000"/>
          <w:kern w:val="0"/>
          <w:sz w:val="24"/>
          <w:u w:val="none"/>
        </w:rPr>
        <w:t>6、人们对人或事物所持有的一套比较笼统、概括、固定的看法，并以这种看法作为评价人或事物的依据（</w:t>
      </w:r>
      <w:r>
        <w:rPr>
          <w:rFonts w:hint="eastAsia" w:ascii="宋体" w:hAnsi="宋体" w:eastAsia="宋体" w:cs="宋体"/>
          <w:color w:val="FFFFFF" w:themeColor="background1"/>
          <w:kern w:val="0"/>
          <w:sz w:val="24"/>
          <w:u w:val="none"/>
          <w14:textFill>
            <w14:solidFill>
              <w14:schemeClr w14:val="bg1"/>
            </w14:solidFill>
          </w14:textFill>
        </w:rPr>
        <w:t>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A、首因效应     B、近因效应    C、晕轮效应   D、刻板印象效应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7、根据维纳的两维成败归因理论，属于稳定的内在原因是（</w:t>
      </w:r>
      <w:r>
        <w:rPr>
          <w:rFonts w:hint="eastAsia" w:ascii="宋体" w:hAnsi="宋体" w:eastAsia="宋体" w:cs="宋体"/>
          <w:color w:val="FFFFFF" w:themeColor="background1"/>
          <w:kern w:val="0"/>
          <w:sz w:val="24"/>
          <w:u w:val="none"/>
          <w14:textFill>
            <w14:solidFill>
              <w14:schemeClr w14:val="bg1"/>
            </w14:solidFill>
          </w14:textFill>
        </w:rPr>
        <w:t>A</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A、能力                   B、努力（不稳定的，内在原因）</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C、任务（稳定的，外在原因）     D、运气（不稳定的，外在原因）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8、在影响人际吸引中“近水楼台先得月”是属于以下哪种因素的作用（</w:t>
      </w:r>
      <w:r>
        <w:rPr>
          <w:rFonts w:hint="eastAsia" w:ascii="宋体" w:hAnsi="宋体" w:eastAsia="宋体" w:cs="宋体"/>
          <w:color w:val="FFFFFF" w:themeColor="background1"/>
          <w:kern w:val="0"/>
          <w:sz w:val="24"/>
          <w:u w:val="none"/>
          <w14:textFill>
            <w14:solidFill>
              <w14:schemeClr w14:val="bg1"/>
            </w14:solidFill>
          </w14:textFill>
        </w:rPr>
        <w:t>A</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A、熟悉性和临近性            B、相似性与互补性 </w:t>
      </w:r>
    </w:p>
    <w:p>
      <w:pPr>
        <w:rPr>
          <w:b/>
          <w:sz w:val="28"/>
          <w:szCs w:val="28"/>
          <w:u w:val="none"/>
        </w:rPr>
      </w:pPr>
      <w:r>
        <w:rPr>
          <w:rFonts w:hint="eastAsia" w:ascii="宋体" w:hAnsi="宋体" w:eastAsia="宋体" w:cs="宋体"/>
          <w:color w:val="000000"/>
          <w:kern w:val="0"/>
          <w:sz w:val="24"/>
          <w:u w:val="none"/>
        </w:rPr>
        <w:t xml:space="preserve">C、外貌                      D、对等性或互惠性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9、在非对抗性态度的条件下，用含蓄、间接的方式对他人的心理和行为产生影响，使之产生一致性，称为（</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A、从众（个人的观念与行为在真实或臆想的群体压力、群体规范与群体目标的影响下，向与群体中大多数成员相一致的方间变化的现象）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B、服从（在外界压力下，个体改变自己的观点或行为，以符合外界要求的现象）                  C、暗示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D、模仿（在无外在控制条件下，个体由于受到他人行为的影响，而使自己的行为与他人行为相同的行为方式）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10、看到别人穿时装，自己也去买来穿上，属于（</w:t>
      </w:r>
      <w:r>
        <w:rPr>
          <w:rFonts w:hint="eastAsia" w:ascii="宋体" w:hAnsi="宋体" w:eastAsia="宋体" w:cs="宋体"/>
          <w:color w:val="FFFFFF" w:themeColor="background1"/>
          <w:kern w:val="0"/>
          <w:sz w:val="24"/>
          <w:u w:val="none"/>
          <w14:textFill>
            <w14:solidFill>
              <w14:schemeClr w14:val="bg1"/>
            </w14:solidFill>
          </w14:textFill>
        </w:rPr>
        <w:t>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A、服从       B、从众         C、模仿         D、暗示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11、三个和尚没水吃的现象是（</w:t>
      </w:r>
      <w:r>
        <w:rPr>
          <w:rFonts w:hint="eastAsia" w:ascii="宋体" w:hAnsi="宋体" w:eastAsia="宋体" w:cs="宋体"/>
          <w:color w:val="FFFFFF" w:themeColor="background1"/>
          <w:kern w:val="0"/>
          <w:sz w:val="24"/>
          <w:u w:val="none"/>
          <w14:textFill>
            <w14:solidFill>
              <w14:schemeClr w14:val="bg1"/>
            </w14:solidFill>
          </w14:textFill>
        </w:rPr>
        <w:t>B</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A、社会促进        B、社会抑制     C、社会进步    D、社会退步 </w:t>
      </w:r>
      <w:r>
        <w:rPr>
          <w:rFonts w:hint="eastAsia" w:ascii="宋体" w:hAnsi="宋体" w:eastAsia="宋体" w:cs="宋体"/>
          <w:color w:val="000000"/>
          <w:kern w:val="0"/>
          <w:sz w:val="24"/>
          <w:u w:val="none"/>
        </w:rPr>
        <w:br w:type="textWrapping"/>
      </w:r>
      <w:r>
        <w:rPr>
          <w:rFonts w:hint="eastAsia"/>
          <w:b/>
          <w:sz w:val="28"/>
          <w:szCs w:val="28"/>
          <w:u w:val="none"/>
        </w:rPr>
        <w:t>三、多项选择题</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1、学生学习的三个基本领域包括（</w:t>
      </w:r>
      <w:r>
        <w:rPr>
          <w:rFonts w:hint="eastAsia" w:ascii="宋体" w:hAnsi="宋体" w:eastAsia="宋体" w:cs="宋体"/>
          <w:color w:val="FFFFFF" w:themeColor="background1"/>
          <w:kern w:val="0"/>
          <w:sz w:val="24"/>
          <w:u w:val="none"/>
          <w14:textFill>
            <w14:solidFill>
              <w14:schemeClr w14:val="bg1"/>
            </w14:solidFill>
          </w14:textFill>
        </w:rPr>
        <w:t>A，B，D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A、认知        B、情感        C、意志      D、动作技能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2、教学媒体包括（</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A、投影    B、录象      C、计算机     D、黑板   E、图片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3、行为主义教学观把学习看成（</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A、经验的联结或操作的变化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B、通过练习和刺激反应式的强化来实现的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C、学习效果表现为外部的变化    D、教学的目的是传授知识技能体系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4、华莱士将问题解决描述为哪四个步骤（</w:t>
      </w:r>
      <w:r>
        <w:rPr>
          <w:rFonts w:hint="eastAsia" w:ascii="宋体" w:hAnsi="宋体" w:eastAsia="宋体" w:cs="宋体"/>
          <w:color w:val="FFFFFF" w:themeColor="background1"/>
          <w:kern w:val="0"/>
          <w:sz w:val="24"/>
          <w:u w:val="none"/>
          <w14:textFill>
            <w14:solidFill>
              <w14:schemeClr w14:val="bg1"/>
            </w14:solidFill>
          </w14:textFill>
        </w:rPr>
        <w:t>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A、产生        B、准备       C、孕育        D、明朗        E、验证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5、创造性思维表现为思维的（</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A、独创性        B、发散性         C、灵活性          D、突发性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6、教师的职业心理特征表现为、（</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A、热爱学生       B、善于启发       C、勤学敬业       D、以身作则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7、优秀教师的自我效能感表现为（</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A、个人成就感                B、认为从事教学活动很有价值</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C、对学生有正向的期望        D、对学生的学习负有责任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8、认为学习是外部行为的变化的是（</w:t>
      </w:r>
      <w:r>
        <w:rPr>
          <w:rFonts w:hint="eastAsia" w:ascii="宋体" w:hAnsi="宋体" w:eastAsia="宋体" w:cs="宋体"/>
          <w:color w:val="FFFFFF" w:themeColor="background1"/>
          <w:kern w:val="0"/>
          <w:sz w:val="24"/>
          <w:u w:val="none"/>
          <w14:textFill>
            <w14:solidFill>
              <w14:schemeClr w14:val="bg1"/>
            </w14:solidFill>
          </w14:textFill>
        </w:rPr>
        <w:t>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A、桑代克       B、巴甫洛夫         C、斯金纳       D、加涅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9、强调学习是认知结构的变化的是（</w:t>
      </w:r>
      <w:r>
        <w:rPr>
          <w:rFonts w:hint="eastAsia" w:ascii="宋体" w:hAnsi="宋体" w:eastAsia="宋体" w:cs="宋体"/>
          <w:color w:val="FFFFFF" w:themeColor="background1"/>
          <w:kern w:val="0"/>
          <w:sz w:val="24"/>
          <w:u w:val="none"/>
          <w14:textFill>
            <w14:solidFill>
              <w14:schemeClr w14:val="bg1"/>
            </w14:solidFill>
          </w14:textFill>
        </w:rPr>
        <w:t>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A、华生      B、加涅        C、奥苏贝尔      D，金布尔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10、金布尔关于学习的定义是（</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A、学习的结果是学习的主体要发生持久的变化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B、学习是发生外在行为和内在心理的变化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C、学习是一种活动过程    D、学习需要练习      E、学习要受到强化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11、潘菽在《教育心理学》中根据内容和结果将学习分为（</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A、知识的学习           B、技能与熟练的学习</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C、心智的、以思维为主的能力的学习    D、道德品质与行为习惯的学习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12、学习风格的构成要素有（</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A、生理性要素           B、认知要素          C、情感要素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D、意志要素             E、社会性要素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13、联结论的主要特征是（</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A、学习的实质在于形成刺激与反应之间的联结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B、联结是直接的、无中介的，是靠尝试错误而建立的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C、强调对学习过程的客观研究        D、学习主要在于主动形成认知结构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14、桑代克总结的主要学习规律是（</w:t>
      </w:r>
      <w:r>
        <w:rPr>
          <w:rFonts w:hint="eastAsia" w:ascii="宋体" w:hAnsi="宋体" w:eastAsia="宋体" w:cs="宋体"/>
          <w:color w:val="FFFFFF" w:themeColor="background1"/>
          <w:kern w:val="0"/>
          <w:sz w:val="24"/>
          <w:u w:val="none"/>
          <w14:textFill>
            <w14:solidFill>
              <w14:schemeClr w14:val="bg1"/>
            </w14:solidFill>
          </w14:textFill>
        </w:rPr>
        <w:t>A，B，C</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A、效果律        B、练习律         C、准备律           D、联结律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15、斯金纳总结出的规律包括（</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A、习得反应       B，条件强化     C，泛化作用       D、消退作用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16、正强化的方法包括（</w:t>
      </w:r>
      <w:r>
        <w:rPr>
          <w:rFonts w:hint="eastAsia" w:ascii="宋体" w:hAnsi="宋体" w:eastAsia="宋体" w:cs="宋体"/>
          <w:color w:val="FFFFFF" w:themeColor="background1"/>
          <w:kern w:val="0"/>
          <w:sz w:val="24"/>
          <w:u w:val="none"/>
          <w14:textFill>
            <w14:solidFill>
              <w14:schemeClr w14:val="bg1"/>
            </w14:solidFill>
          </w14:textFill>
        </w:rPr>
        <w:t>A，B，C，D，E</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A、奖学金            B、对成绩的认可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C、表扬          D、改善学习             E、给予学习和成长机会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17、学习活动中良好的性格特征表现为（</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A、努力奋斗     B、实事求是      C、独立意识      D、创新精神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18、个体具有社会化的可能性主要是因为（</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A、有生物遗传素质的基础         B、有超越本能的学习能力 </w:t>
      </w:r>
    </w:p>
    <w:p>
      <w:pPr>
        <w:spacing w:line="336" w:lineRule="auto"/>
        <w:ind w:firstLine="120" w:firstLineChars="50"/>
        <w:rPr>
          <w:rFonts w:ascii="宋体" w:hAnsi="宋体" w:eastAsia="宋体" w:cs="宋体"/>
          <w:color w:val="000000"/>
          <w:kern w:val="0"/>
          <w:sz w:val="24"/>
          <w:u w:val="none"/>
        </w:rPr>
      </w:pPr>
      <w:r>
        <w:rPr>
          <w:rFonts w:hint="eastAsia" w:ascii="宋体" w:hAnsi="宋体" w:eastAsia="宋体" w:cs="宋体"/>
          <w:color w:val="000000"/>
          <w:kern w:val="0"/>
          <w:sz w:val="24"/>
          <w:u w:val="none"/>
        </w:rPr>
        <w:t xml:space="preserve">C、有较长的依赖生活期           D、有掌握语言的潜在能力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19、大众传媒有（</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A、报纸           B、电视        C、广播         D、互联网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20、印象具有以下特点（</w:t>
      </w:r>
      <w:r>
        <w:rPr>
          <w:rFonts w:hint="eastAsia" w:ascii="宋体" w:hAnsi="宋体" w:eastAsia="宋体" w:cs="宋体"/>
          <w:color w:val="FFFFFF" w:themeColor="background1"/>
          <w:kern w:val="0"/>
          <w:sz w:val="24"/>
          <w:u w:val="none"/>
          <w14:textFill>
            <w14:solidFill>
              <w14:schemeClr w14:val="bg1"/>
            </w14:solidFill>
          </w14:textFill>
        </w:rPr>
        <w:t>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A、直接性         B、间接性      C、稳固性       D、综合性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21、态度改变的方法有（</w:t>
      </w:r>
      <w:r>
        <w:rPr>
          <w:rFonts w:hint="eastAsia" w:ascii="宋体" w:hAnsi="宋体" w:eastAsia="宋体" w:cs="宋体"/>
          <w:color w:val="FFFFFF" w:themeColor="background1"/>
          <w:kern w:val="0"/>
          <w:sz w:val="24"/>
          <w:u w:val="none"/>
          <w14:textFill>
            <w14:solidFill>
              <w14:schemeClr w14:val="bg1"/>
            </w14:solidFill>
          </w14:textFill>
        </w:rPr>
        <w:t>A，B，C，D</w:t>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A、劝导宣传法               B、群体影响法      </w:t>
      </w:r>
    </w:p>
    <w:p>
      <w:pPr>
        <w:rPr>
          <w:b/>
          <w:sz w:val="28"/>
          <w:szCs w:val="28"/>
          <w:u w:val="none"/>
        </w:rPr>
      </w:pPr>
      <w:r>
        <w:rPr>
          <w:rFonts w:hint="eastAsia" w:ascii="宋体" w:hAnsi="宋体" w:eastAsia="宋体" w:cs="宋体"/>
          <w:color w:val="000000"/>
          <w:kern w:val="0"/>
          <w:sz w:val="24"/>
          <w:u w:val="none"/>
        </w:rPr>
        <w:t xml:space="preserve">C、活动参与法               D、角色扮演法 </w:t>
      </w:r>
      <w:r>
        <w:rPr>
          <w:rFonts w:hint="eastAsia" w:ascii="宋体" w:hAnsi="宋体" w:eastAsia="宋体" w:cs="宋体"/>
          <w:color w:val="000000"/>
          <w:kern w:val="0"/>
          <w:sz w:val="24"/>
          <w:u w:val="none"/>
        </w:rPr>
        <w:br w:type="textWrapping"/>
      </w:r>
      <w:r>
        <w:rPr>
          <w:rFonts w:hint="eastAsia"/>
          <w:b/>
          <w:sz w:val="28"/>
          <w:szCs w:val="28"/>
          <w:u w:val="none"/>
        </w:rPr>
        <w:t>四、简答题</w:t>
      </w:r>
    </w:p>
    <w:p>
      <w:pPr>
        <w:spacing w:line="336" w:lineRule="auto"/>
        <w:rPr>
          <w:rFonts w:ascii="宋体" w:hAnsi="宋体" w:eastAsia="宋体" w:cs="Times New Roman"/>
          <w:sz w:val="24"/>
          <w:u w:val="none"/>
        </w:rPr>
      </w:pPr>
      <w:r>
        <w:rPr>
          <w:rFonts w:hint="eastAsia" w:ascii="宋体" w:hAnsi="宋体" w:eastAsia="宋体" w:cs="Times New Roman"/>
          <w:sz w:val="24"/>
          <w:u w:val="none"/>
        </w:rPr>
        <w:t>1.简要评述行为主义学派的主要观点。</w:t>
      </w:r>
    </w:p>
    <w:p>
      <w:pPr>
        <w:spacing w:line="336" w:lineRule="auto"/>
        <w:ind w:left="-218" w:leftChars="-104" w:firstLine="240" w:firstLineChars="100"/>
        <w:rPr>
          <w:rFonts w:ascii="宋体" w:hAnsi="宋体" w:eastAsia="宋体" w:cs="Times New Roman"/>
          <w:sz w:val="24"/>
          <w:u w:val="none"/>
        </w:rPr>
      </w:pPr>
    </w:p>
    <w:p>
      <w:pPr>
        <w:spacing w:line="336" w:lineRule="auto"/>
        <w:ind w:left="-218" w:leftChars="-104" w:firstLine="240" w:firstLineChars="100"/>
        <w:rPr>
          <w:rFonts w:ascii="宋体" w:hAnsi="宋体" w:eastAsia="宋体" w:cs="Times New Roman"/>
          <w:sz w:val="24"/>
          <w:u w:val="none"/>
        </w:rPr>
      </w:pPr>
    </w:p>
    <w:p>
      <w:pPr>
        <w:spacing w:line="336" w:lineRule="auto"/>
        <w:ind w:left="-218" w:leftChars="-104" w:firstLine="240" w:firstLineChars="100"/>
        <w:rPr>
          <w:rFonts w:ascii="宋体" w:hAnsi="宋体" w:eastAsia="宋体" w:cs="Times New Roman"/>
          <w:sz w:val="24"/>
          <w:u w:val="none"/>
        </w:rPr>
      </w:pPr>
    </w:p>
    <w:p>
      <w:pPr>
        <w:spacing w:line="336" w:lineRule="auto"/>
        <w:ind w:left="-218" w:leftChars="-104" w:firstLine="240" w:firstLineChars="100"/>
        <w:rPr>
          <w:rFonts w:ascii="宋体" w:hAnsi="宋体" w:eastAsia="宋体" w:cs="Times New Roman"/>
          <w:sz w:val="24"/>
          <w:u w:val="none"/>
        </w:rPr>
      </w:pPr>
    </w:p>
    <w:p>
      <w:pPr>
        <w:spacing w:line="336" w:lineRule="auto"/>
        <w:ind w:left="-218" w:leftChars="-104" w:firstLine="240" w:firstLineChars="100"/>
        <w:rPr>
          <w:rFonts w:ascii="宋体" w:hAnsi="宋体" w:eastAsia="宋体" w:cs="Times New Roman"/>
          <w:sz w:val="24"/>
          <w:u w:val="none"/>
        </w:rPr>
      </w:pPr>
      <w:r>
        <w:rPr>
          <w:rFonts w:hint="eastAsia" w:ascii="宋体" w:hAnsi="宋体" w:eastAsia="宋体" w:cs="Times New Roman"/>
          <w:sz w:val="24"/>
          <w:u w:val="none"/>
        </w:rPr>
        <w:t xml:space="preserve">2.谈谈你对思维定势的认识？ </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r>
        <w:rPr>
          <w:rFonts w:hint="eastAsia" w:ascii="宋体" w:hAnsi="宋体" w:eastAsia="宋体" w:cs="Times New Roman"/>
          <w:sz w:val="24"/>
          <w:u w:val="none"/>
        </w:rPr>
        <w:t>3. 简述耶基斯-多德森定律.</w:t>
      </w:r>
    </w:p>
    <w:p>
      <w:pPr>
        <w:rPr>
          <w:b/>
          <w:sz w:val="28"/>
          <w:szCs w:val="28"/>
          <w:u w:val="none"/>
        </w:rPr>
      </w:pPr>
      <w:r>
        <w:rPr>
          <w:rFonts w:hint="eastAsia"/>
          <w:b/>
          <w:sz w:val="28"/>
          <w:szCs w:val="28"/>
          <w:u w:val="none"/>
        </w:rPr>
        <w:t>五、论述题</w:t>
      </w:r>
    </w:p>
    <w:p>
      <w:pPr>
        <w:spacing w:line="336" w:lineRule="auto"/>
        <w:rPr>
          <w:rFonts w:ascii="宋体" w:hAnsi="宋体" w:eastAsia="宋体" w:cs="Times New Roman"/>
          <w:sz w:val="24"/>
          <w:u w:val="none"/>
        </w:rPr>
      </w:pPr>
      <w:r>
        <w:rPr>
          <w:rFonts w:hint="eastAsia" w:ascii="宋体" w:hAnsi="宋体" w:eastAsia="宋体" w:cs="Times New Roman"/>
          <w:sz w:val="24"/>
          <w:u w:val="none"/>
        </w:rPr>
        <w:t>1</w:t>
      </w:r>
      <w:r>
        <w:rPr>
          <w:rFonts w:ascii="宋体" w:hAnsi="宋体" w:eastAsia="宋体" w:cs="Times New Roman"/>
          <w:sz w:val="24"/>
          <w:u w:val="none"/>
        </w:rPr>
        <w:t>.</w:t>
      </w:r>
      <w:r>
        <w:rPr>
          <w:rFonts w:hint="eastAsia" w:ascii="宋体" w:hAnsi="宋体" w:eastAsia="宋体" w:cs="Times New Roman"/>
          <w:sz w:val="24"/>
          <w:u w:val="none"/>
        </w:rPr>
        <w:t>教师该如何帮助学生掌握科学概念</w:t>
      </w:r>
    </w:p>
    <w:p>
      <w:pPr>
        <w:spacing w:line="336" w:lineRule="auto"/>
        <w:rPr>
          <w:rFonts w:ascii="宋体" w:hAnsi="宋体" w:eastAsia="宋体" w:cs="Times New Roman"/>
          <w:sz w:val="24"/>
          <w:u w:val="none"/>
        </w:rPr>
      </w:pPr>
    </w:p>
    <w:p>
      <w:pPr>
        <w:spacing w:line="336" w:lineRule="auto"/>
        <w:rPr>
          <w:rFonts w:ascii="宋体" w:hAnsi="宋体" w:eastAsia="宋体" w:cs="Times New Roman"/>
          <w:sz w:val="24"/>
          <w:u w:val="none"/>
        </w:rPr>
      </w:pPr>
    </w:p>
    <w:p>
      <w:pPr>
        <w:spacing w:line="336" w:lineRule="auto"/>
        <w:rPr>
          <w:rFonts w:ascii="宋体" w:hAnsi="宋体" w:eastAsia="宋体" w:cs="Times New Roman"/>
          <w:color w:val="333333"/>
          <w:sz w:val="24"/>
          <w:u w:val="none"/>
        </w:rPr>
      </w:pPr>
      <w:r>
        <w:rPr>
          <w:rFonts w:hint="eastAsia" w:ascii="宋体" w:hAnsi="宋体" w:eastAsia="宋体" w:cs="Times New Roman"/>
          <w:color w:val="333333"/>
          <w:sz w:val="24"/>
          <w:u w:val="none"/>
        </w:rPr>
        <w:t>2.</w:t>
      </w:r>
      <w:r>
        <w:rPr>
          <w:rFonts w:ascii="宋体" w:hAnsi="宋体" w:eastAsia="宋体" w:cs="Times New Roman"/>
          <w:color w:val="333333"/>
          <w:sz w:val="24"/>
          <w:u w:val="none"/>
        </w:rPr>
        <w:t xml:space="preserve">结合实际论述如何培养学生的创造思维。 </w:t>
      </w:r>
    </w:p>
    <w:p>
      <w:pPr>
        <w:spacing w:line="336" w:lineRule="auto"/>
        <w:rPr>
          <w:rFonts w:ascii="宋体" w:hAnsi="宋体" w:eastAsia="宋体" w:cs="Times New Roman"/>
          <w:color w:val="333333"/>
          <w:sz w:val="24"/>
          <w:u w:val="none"/>
        </w:rPr>
      </w:pPr>
      <w:bookmarkStart w:id="0" w:name="_GoBack"/>
      <w:bookmarkEnd w:id="0"/>
    </w:p>
    <w:p>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B00"/>
    <w:rsid w:val="00182DA3"/>
    <w:rsid w:val="00402B00"/>
    <w:rsid w:val="0084672C"/>
    <w:rsid w:val="00BC6A59"/>
    <w:rsid w:val="00D30B89"/>
    <w:rsid w:val="65DE1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1 Char"/>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629</Words>
  <Characters>3587</Characters>
  <Lines>29</Lines>
  <Paragraphs>8</Paragraphs>
  <TotalTime>0</TotalTime>
  <ScaleCrop>false</ScaleCrop>
  <LinksUpToDate>false</LinksUpToDate>
  <CharactersWithSpaces>4208</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2017-04-21T07:12:00Z</dcterms:created>
  <dc:creator>微软用户</dc:creator>
  <cp:lastModifiedBy>Administrator</cp:lastModifiedBy>
  <dcterms:modified xsi:type="dcterms:W3CDTF">2017-06-28T09:35:05Z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